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D3" w:rsidRDefault="00D331D3" w:rsidP="00D331D3">
      <w:pPr>
        <w:pStyle w:val="Sansinterligne"/>
        <w:rPr>
          <w:b/>
        </w:rPr>
      </w:pPr>
      <w:r w:rsidRPr="0094750A">
        <w:rPr>
          <w:b/>
        </w:rPr>
        <w:t>LE BUDGET 2016 D’ARCUEIL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En recettes les valeurs locatives (la base d’imposition) de la ville augmentent de 1%.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Les dotations de l’Etat passent de 2,6M€ à 1,7M€.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Les nouveaux territoires complexifient les flux financiers (Paris Métropole, regroupement des communautés d’agglomération).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En dépenses les charges de personnel augmentent de 1,62%.</w:t>
      </w:r>
    </w:p>
    <w:p w:rsidR="00D331D3" w:rsidRDefault="00D331D3" w:rsidP="00D331D3">
      <w:pPr>
        <w:pStyle w:val="Sansinterligne"/>
        <w:rPr>
          <w:b/>
        </w:rPr>
      </w:pP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LES DEPENSES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Pour compenser la hausse des dépenses salariales, les autres dépenses générales baissent de 4%.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Les médiateurs de nuit sont supprimés, les vœux du maire aussi,  les ateliers scolaires sont réétudiés, les dépenses de la restauration scolaire et les dépenses internationales diminuent.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La masse salariale qui avait fortement augmenté ces dernières années (+2,6% par an) progresse (1,62) pour moitié par le glissement vieillesse technicité. Les demandes de vacations, les heures supplémentaires, les remplacements sont questionnés.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Les subventions aux associations baissent de 5%.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LES RECETTES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Les bases augmentent de 1% et la fiscalité directe représente 39% des recettes.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La dotation de fonctionnement de l’Etat baisse de 35% (2,6-1,7).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La participation des usagers est en hausse notamment suite au réajustement du prix de la restauration scolaire.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 xml:space="preserve">La création de Paris Métropole et du territoire T12 comprend des nouveaux mouvements de dotations versées à la commune : 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 xml:space="preserve">Voir </w:t>
      </w:r>
      <w:hyperlink r:id="rId4" w:history="1">
        <w:r w:rsidRPr="00107C20">
          <w:rPr>
            <w:rStyle w:val="Lienhypertexte"/>
            <w:b/>
          </w:rPr>
          <w:t>http://www.collectivites-locales.gouv.fr/files/files/noteinfo_dotationintercoepci_130515.pdf</w:t>
        </w:r>
      </w:hyperlink>
    </w:p>
    <w:p w:rsidR="00D331D3" w:rsidRDefault="00D331D3" w:rsidP="00D331D3">
      <w:pPr>
        <w:pStyle w:val="Sansinterligne"/>
        <w:rPr>
          <w:b/>
        </w:rPr>
      </w:pP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LES EMPRUNTS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Aucun emprunt « toxique » n’a été souscrit. L’encours est estimé à 19,4M€.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LES INVESTISSEMENTS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50.000€ « ville comestible » / Travaux dans les écoles / Réfection cour crèche parentale / Installation de vidéo protection (études) / Accessibilité des bâtiments /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 xml:space="preserve">Sont maintenues les dépenses concernant l’urbanisme avec la révision du PLU, l’opération « Hôtel de Ville », le soutien à </w:t>
      </w:r>
      <w:proofErr w:type="spellStart"/>
      <w:r>
        <w:rPr>
          <w:b/>
        </w:rPr>
        <w:t>Opaly</w:t>
      </w:r>
      <w:proofErr w:type="spellEnd"/>
      <w:r>
        <w:rPr>
          <w:b/>
        </w:rPr>
        <w:t xml:space="preserve"> (hlm), et l’ORU Chaperon Vert.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Des provisions sont réservées à la rénovation du centre technique municipal.</w:t>
      </w:r>
    </w:p>
    <w:p w:rsidR="00D331D3" w:rsidRDefault="00D331D3" w:rsidP="00D331D3">
      <w:pPr>
        <w:pStyle w:val="Sansinterligne"/>
        <w:rPr>
          <w:b/>
        </w:rPr>
      </w:pP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En annexe le budget du cinéma Jean Vilar (extraits)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Charges de personnel  354000€  autres dépenses 181000€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Recettes d’exploitation  121000€</w:t>
      </w:r>
    </w:p>
    <w:p w:rsidR="00D331D3" w:rsidRDefault="00D331D3" w:rsidP="00D331D3">
      <w:pPr>
        <w:pStyle w:val="Sansinterligne"/>
        <w:rPr>
          <w:b/>
        </w:rPr>
      </w:pPr>
      <w:r>
        <w:rPr>
          <w:b/>
        </w:rPr>
        <w:t>Subvention communale  380000€</w:t>
      </w:r>
    </w:p>
    <w:p w:rsidR="00586E50" w:rsidRDefault="00586E50">
      <w:bookmarkStart w:id="0" w:name="_GoBack"/>
      <w:bookmarkEnd w:id="0"/>
    </w:p>
    <w:sectPr w:rsidR="00586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D3"/>
    <w:rsid w:val="00586E50"/>
    <w:rsid w:val="00D3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B3CF2-10E7-41E7-83EF-5B6C3774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331D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33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lectivites-locales.gouv.fr/files/files/noteinfo_dotationintercoepci_130515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Jacquin</dc:creator>
  <cp:keywords/>
  <dc:description/>
  <cp:lastModifiedBy>Jacquin</cp:lastModifiedBy>
  <cp:revision>1</cp:revision>
  <dcterms:created xsi:type="dcterms:W3CDTF">2016-03-27T16:43:00Z</dcterms:created>
  <dcterms:modified xsi:type="dcterms:W3CDTF">2016-03-27T16:43:00Z</dcterms:modified>
</cp:coreProperties>
</file>